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747703" w14:textId="77777777" w:rsidR="004D72E1" w:rsidRDefault="004D72E1" w:rsidP="004D72E1">
      <w:pPr>
        <w:keepNext/>
      </w:pPr>
      <w:r>
        <w:rPr>
          <w:noProof/>
        </w:rPr>
        <w:drawing>
          <wp:inline distT="0" distB="0" distL="0" distR="0" wp14:anchorId="43EA1C19" wp14:editId="694F9BCF">
            <wp:extent cx="5239456" cy="1790700"/>
            <wp:effectExtent l="0" t="0" r="0" b="0"/>
            <wp:docPr id="14517105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040" cy="1794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BF74B" w14:textId="7EC69E54" w:rsidR="00B92B5A" w:rsidRPr="004D72E1" w:rsidRDefault="002C7B3A" w:rsidP="004D72E1">
      <w:pPr>
        <w:pStyle w:val="ae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Sup</w:t>
      </w:r>
      <w:bookmarkStart w:id="0" w:name="_GoBack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plementary Fig.</w:t>
      </w:r>
      <w:r>
        <w:rPr>
          <w:rFonts w:ascii="Times New Roman" w:eastAsiaTheme="minorEastAsia" w:hAnsi="Times New Roman" w:cs="Times New Roman"/>
          <w:b/>
          <w:bCs/>
          <w:sz w:val="18"/>
          <w:szCs w:val="18"/>
        </w:rPr>
        <w:t xml:space="preserve"> </w:t>
      </w:r>
      <w:r w:rsidR="004D72E1" w:rsidRPr="004D72E1">
        <w:rPr>
          <w:rFonts w:ascii="Times New Roman" w:eastAsia="Times New Roman" w:hAnsi="Times New Roman" w:cs="Times New Roman"/>
          <w:b/>
          <w:bCs/>
          <w:sz w:val="18"/>
          <w:szCs w:val="18"/>
        </w:rPr>
        <w:fldChar w:fldCharType="begin"/>
      </w:r>
      <w:r w:rsidR="004D72E1" w:rsidRPr="004D72E1">
        <w:rPr>
          <w:rFonts w:ascii="Times New Roman" w:eastAsia="Times New Roman" w:hAnsi="Times New Roman" w:cs="Times New Roman"/>
          <w:b/>
          <w:bCs/>
          <w:sz w:val="18"/>
          <w:szCs w:val="18"/>
        </w:rPr>
        <w:instrText xml:space="preserve"> SEQ Figure \* ARABIC </w:instrText>
      </w:r>
      <w:r w:rsidR="004D72E1" w:rsidRPr="004D72E1">
        <w:rPr>
          <w:rFonts w:ascii="Times New Roman" w:eastAsia="Times New Roman" w:hAnsi="Times New Roman" w:cs="Times New Roman"/>
          <w:b/>
          <w:bCs/>
          <w:sz w:val="18"/>
          <w:szCs w:val="18"/>
        </w:rPr>
        <w:fldChar w:fldCharType="separate"/>
      </w:r>
      <w:r w:rsidR="004D72E1" w:rsidRPr="004D72E1">
        <w:rPr>
          <w:rFonts w:ascii="Times New Roman" w:eastAsia="Times New Roman" w:hAnsi="Times New Roman" w:cs="Times New Roman"/>
          <w:b/>
          <w:bCs/>
          <w:sz w:val="18"/>
          <w:szCs w:val="18"/>
        </w:rPr>
        <w:t>1</w:t>
      </w:r>
      <w:r w:rsidR="004D72E1" w:rsidRPr="004D72E1">
        <w:rPr>
          <w:rFonts w:ascii="Times New Roman" w:eastAsia="Times New Roman" w:hAnsi="Times New Roman" w:cs="Times New Roman"/>
          <w:b/>
          <w:bCs/>
          <w:sz w:val="18"/>
          <w:szCs w:val="18"/>
        </w:rPr>
        <w:fldChar w:fldCharType="end"/>
      </w:r>
      <w:r w:rsidR="004D72E1" w:rsidRPr="004D72E1">
        <w:rPr>
          <w:rFonts w:ascii="Times New Roman" w:eastAsia="Times New Roman" w:hAnsi="Times New Roman" w:cs="Times New Roman" w:hint="eastAsia"/>
          <w:b/>
          <w:bCs/>
          <w:sz w:val="18"/>
          <w:szCs w:val="18"/>
        </w:rPr>
        <w:t xml:space="preserve"> </w:t>
      </w:r>
      <w:r w:rsidR="004D72E1" w:rsidRPr="004D72E1">
        <w:rPr>
          <w:rFonts w:ascii="Times New Roman" w:eastAsia="Times New Roman" w:hAnsi="Times New Roman" w:cs="Times New Roman"/>
          <w:b/>
          <w:bCs/>
          <w:sz w:val="18"/>
          <w:szCs w:val="18"/>
        </w:rPr>
        <w:t>The Nrf2 inhibitor Brusatol i</w:t>
      </w:r>
      <w:bookmarkEnd w:id="0"/>
      <w:r w:rsidR="004D72E1" w:rsidRPr="004D72E1">
        <w:rPr>
          <w:rFonts w:ascii="Times New Roman" w:eastAsia="Times New Roman" w:hAnsi="Times New Roman" w:cs="Times New Roman"/>
          <w:b/>
          <w:bCs/>
          <w:sz w:val="18"/>
          <w:szCs w:val="18"/>
        </w:rPr>
        <w:t>nhibits the protective effect of VSIG4 in vivo</w:t>
      </w:r>
      <w:r w:rsidR="004D72E1" w:rsidRPr="004D72E1">
        <w:rPr>
          <w:rFonts w:ascii="Times New Roman" w:eastAsia="Times New Roman" w:hAnsi="Times New Roman" w:cs="Times New Roman" w:hint="eastAsia"/>
          <w:b/>
          <w:bCs/>
          <w:sz w:val="18"/>
          <w:szCs w:val="18"/>
        </w:rPr>
        <w:t>.</w:t>
      </w:r>
      <w:r w:rsidR="004D72E1">
        <w:rPr>
          <w:rFonts w:hint="eastAsia"/>
          <w:b/>
          <w:bCs/>
          <w:sz w:val="18"/>
          <w:szCs w:val="18"/>
        </w:rPr>
        <w:t xml:space="preserve"> </w:t>
      </w:r>
      <w:r w:rsidR="004D72E1" w:rsidRPr="004D72E1">
        <w:rPr>
          <w:rFonts w:ascii="Times New Roman" w:eastAsia="Times New Roman" w:hAnsi="Times New Roman" w:cs="Times New Roman" w:hint="eastAsia"/>
          <w:sz w:val="18"/>
          <w:szCs w:val="18"/>
        </w:rPr>
        <w:t>(A-C) C</w:t>
      </w:r>
      <w:r w:rsidR="004D72E1" w:rsidRPr="004D72E1">
        <w:rPr>
          <w:rFonts w:ascii="Times New Roman" w:eastAsia="Times New Roman" w:hAnsi="Times New Roman" w:cs="Times New Roman"/>
          <w:sz w:val="18"/>
          <w:szCs w:val="18"/>
        </w:rPr>
        <w:t>ell numbers of Iba1-positive cells</w:t>
      </w:r>
      <w:r w:rsidR="004D72E1" w:rsidRPr="004D72E1">
        <w:rPr>
          <w:rFonts w:ascii="Times New Roman" w:eastAsia="Times New Roman" w:hAnsi="Times New Roman" w:cs="Times New Roman" w:hint="eastAsia"/>
          <w:sz w:val="18"/>
          <w:szCs w:val="18"/>
        </w:rPr>
        <w:t>,</w:t>
      </w:r>
      <w:r w:rsidR="004D72E1" w:rsidRPr="004D72E1">
        <w:rPr>
          <w:rFonts w:ascii="Times New Roman" w:eastAsia="Times New Roman" w:hAnsi="Times New Roman" w:cs="Times New Roman"/>
          <w:sz w:val="18"/>
          <w:szCs w:val="18"/>
        </w:rPr>
        <w:t xml:space="preserve"> GFAP-positive cells</w:t>
      </w:r>
      <w:r w:rsidR="004D72E1" w:rsidRPr="004D72E1">
        <w:rPr>
          <w:rFonts w:ascii="Times New Roman" w:eastAsia="Times New Roman" w:hAnsi="Times New Roman" w:cs="Times New Roman" w:hint="eastAsia"/>
          <w:sz w:val="18"/>
          <w:szCs w:val="18"/>
        </w:rPr>
        <w:t xml:space="preserve"> and NeuN</w:t>
      </w:r>
      <w:r w:rsidR="004D72E1" w:rsidRPr="004D72E1">
        <w:rPr>
          <w:rFonts w:ascii="Times New Roman" w:eastAsia="Times New Roman" w:hAnsi="Times New Roman" w:cs="Times New Roman"/>
          <w:sz w:val="18"/>
          <w:szCs w:val="18"/>
        </w:rPr>
        <w:t>-positive cells in the tissue surrounding the hematoma exposed to Brusatol</w:t>
      </w:r>
      <w:r w:rsidR="004D72E1" w:rsidRPr="004D72E1">
        <w:rPr>
          <w:rFonts w:ascii="Times New Roman" w:eastAsia="Times New Roman" w:hAnsi="Times New Roman" w:cs="Times New Roman" w:hint="eastAsia"/>
          <w:sz w:val="18"/>
          <w:szCs w:val="18"/>
        </w:rPr>
        <w:t xml:space="preserve">, </w:t>
      </w:r>
      <w:r w:rsidR="004D72E1" w:rsidRPr="004D72E1">
        <w:rPr>
          <w:rFonts w:ascii="Times New Roman" w:eastAsia="Times New Roman" w:hAnsi="Times New Roman" w:cs="Times New Roman"/>
          <w:sz w:val="18"/>
          <w:szCs w:val="18"/>
        </w:rPr>
        <w:t>n=5</w:t>
      </w:r>
      <w:r w:rsidR="004D72E1" w:rsidRPr="004D72E1">
        <w:rPr>
          <w:rFonts w:ascii="Times New Roman" w:eastAsia="Times New Roman" w:hAnsi="Times New Roman" w:cs="Times New Roman" w:hint="eastAsia"/>
          <w:sz w:val="18"/>
          <w:szCs w:val="18"/>
        </w:rPr>
        <w:t xml:space="preserve"> (D,E) </w:t>
      </w:r>
      <w:r w:rsidR="004D72E1" w:rsidRPr="004D72E1">
        <w:rPr>
          <w:rFonts w:ascii="Times New Roman" w:eastAsia="Times New Roman" w:hAnsi="Times New Roman" w:cs="Times New Roman"/>
          <w:sz w:val="18"/>
          <w:szCs w:val="18"/>
        </w:rPr>
        <w:t>Levels of IL-1β and TNF-α in ICH mice exposed to Brusatol, n=5.</w:t>
      </w:r>
    </w:p>
    <w:sectPr w:rsidR="00B92B5A" w:rsidRPr="004D7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BE1F3" w14:textId="77777777" w:rsidR="002C7B3A" w:rsidRDefault="002C7B3A" w:rsidP="002C7B3A">
      <w:r>
        <w:separator/>
      </w:r>
    </w:p>
  </w:endnote>
  <w:endnote w:type="continuationSeparator" w:id="0">
    <w:p w14:paraId="4DACAB61" w14:textId="77777777" w:rsidR="002C7B3A" w:rsidRDefault="002C7B3A" w:rsidP="002C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524C3" w14:textId="77777777" w:rsidR="002C7B3A" w:rsidRDefault="002C7B3A" w:rsidP="002C7B3A">
      <w:r>
        <w:separator/>
      </w:r>
    </w:p>
  </w:footnote>
  <w:footnote w:type="continuationSeparator" w:id="0">
    <w:p w14:paraId="4AF0301B" w14:textId="77777777" w:rsidR="002C7B3A" w:rsidRDefault="002C7B3A" w:rsidP="002C7B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2E1"/>
    <w:rsid w:val="002C7B3A"/>
    <w:rsid w:val="004D72E1"/>
    <w:rsid w:val="00766972"/>
    <w:rsid w:val="008844FA"/>
    <w:rsid w:val="00953BA7"/>
    <w:rsid w:val="00B92B5A"/>
    <w:rsid w:val="00E8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6034EA"/>
  <w15:chartTrackingRefBased/>
  <w15:docId w15:val="{C7308402-81C8-47ED-A074-F77A1D04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D72E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7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72E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72E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72E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72E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72E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72E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72E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D72E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D72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D72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D72E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D72E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D72E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D72E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D72E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D72E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D72E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D7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D72E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D72E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D72E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D72E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D72E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D72E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D72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D72E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D72E1"/>
    <w:rPr>
      <w:b/>
      <w:bCs/>
      <w:smallCaps/>
      <w:color w:val="0F4761" w:themeColor="accent1" w:themeShade="BF"/>
      <w:spacing w:val="5"/>
    </w:rPr>
  </w:style>
  <w:style w:type="paragraph" w:styleId="ae">
    <w:name w:val="caption"/>
    <w:basedOn w:val="a"/>
    <w:next w:val="a"/>
    <w:uiPriority w:val="35"/>
    <w:unhideWhenUsed/>
    <w:qFormat/>
    <w:rsid w:val="004D72E1"/>
    <w:rPr>
      <w:rFonts w:asciiTheme="majorHAnsi" w:eastAsia="黑体" w:hAnsiTheme="majorHAnsi" w:cstheme="majorBidi"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2C7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2C7B3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2C7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2C7B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皓凡 卢</dc:creator>
  <cp:keywords/>
  <dc:description/>
  <cp:lastModifiedBy>Rui</cp:lastModifiedBy>
  <cp:revision>3</cp:revision>
  <dcterms:created xsi:type="dcterms:W3CDTF">2025-03-17T05:22:00Z</dcterms:created>
  <dcterms:modified xsi:type="dcterms:W3CDTF">2025-04-11T09:10:00Z</dcterms:modified>
</cp:coreProperties>
</file>